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11C589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baseline"/>
        <w:rPr>
          <w:rFonts w:hint="default" w:ascii="方正黑体_GBK" w:hAnsi="方正黑体_GBK" w:eastAsia="方正黑体_GBK" w:cs="方正黑体_GBK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方正黑体_GBK" w:hAnsi="方正黑体_GBK" w:eastAsia="方正黑体_GBK" w:cs="方正黑体_GBK"/>
          <w:b w:val="0"/>
          <w:bCs w:val="0"/>
          <w:sz w:val="32"/>
          <w:szCs w:val="32"/>
          <w:lang w:val="en-US" w:eastAsia="zh-CN"/>
        </w:rPr>
        <w:t>附件3</w:t>
      </w:r>
    </w:p>
    <w:p w14:paraId="53BBFD6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baseline"/>
        <w:rPr>
          <w:rFonts w:hint="eastAsia" w:ascii="方正小标宋_GBK" w:hAnsi="方正小标宋_GBK" w:eastAsia="方正小标宋_GBK" w:cs="方正小标宋_GBK"/>
          <w:b/>
          <w:bCs/>
          <w:sz w:val="44"/>
          <w:szCs w:val="44"/>
        </w:rPr>
      </w:pPr>
    </w:p>
    <w:p w14:paraId="65E7AAA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baseline"/>
        <w:rPr>
          <w:rFonts w:hint="eastAsia" w:ascii="方正小标宋_GBK" w:hAnsi="方正小标宋_GBK" w:eastAsia="方正小标宋_GBK" w:cs="方正小标宋_GBK"/>
          <w:b/>
          <w:bCs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b/>
          <w:bCs/>
          <w:sz w:val="44"/>
          <w:szCs w:val="44"/>
        </w:rPr>
        <w:t>重庆外语外事学院</w:t>
      </w:r>
    </w:p>
    <w:p w14:paraId="4D35AB2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baseline"/>
        <w:rPr>
          <w:rFonts w:hint="default" w:ascii="方正小标宋_GBK" w:hAnsi="方正小标宋_GBK" w:eastAsia="方正小标宋_GBK" w:cs="方正小标宋_GBK"/>
          <w:b/>
          <w:bCs/>
          <w:sz w:val="44"/>
          <w:szCs w:val="44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b/>
          <w:bCs/>
          <w:sz w:val="44"/>
          <w:szCs w:val="44"/>
          <w:lang w:val="en-US" w:eastAsia="zh-CN"/>
        </w:rPr>
        <w:t>2025年秋季运动会开幕式团体操</w:t>
      </w:r>
      <w:r>
        <w:rPr>
          <w:rFonts w:hint="eastAsia" w:ascii="方正小标宋_GBK" w:hAnsi="方正小标宋_GBK" w:eastAsia="方正小标宋_GBK" w:cs="方正小标宋_GBK"/>
          <w:b/>
          <w:bCs/>
          <w:sz w:val="44"/>
          <w:szCs w:val="44"/>
        </w:rPr>
        <w:t>比赛</w:t>
      </w:r>
      <w:r>
        <w:rPr>
          <w:rFonts w:hint="eastAsia" w:ascii="方正小标宋_GBK" w:hAnsi="方正小标宋_GBK" w:eastAsia="方正小标宋_GBK" w:cs="方正小标宋_GBK"/>
          <w:b/>
          <w:bCs/>
          <w:sz w:val="44"/>
          <w:szCs w:val="44"/>
          <w:lang w:val="en-US" w:eastAsia="zh-CN"/>
        </w:rPr>
        <w:t>竞赛</w:t>
      </w:r>
      <w:r>
        <w:rPr>
          <w:rFonts w:hint="eastAsia" w:ascii="方正小标宋_GBK" w:hAnsi="方正小标宋_GBK" w:eastAsia="方正小标宋_GBK" w:cs="方正小标宋_GBK"/>
          <w:b/>
          <w:bCs/>
          <w:sz w:val="44"/>
          <w:szCs w:val="44"/>
        </w:rPr>
        <w:t>规程</w:t>
      </w:r>
      <w:r>
        <w:rPr>
          <w:rFonts w:hint="eastAsia" w:ascii="方正小标宋_GBK" w:hAnsi="方正小标宋_GBK" w:eastAsia="方正小标宋_GBK" w:cs="方正小标宋_GBK"/>
          <w:b/>
          <w:bCs/>
          <w:sz w:val="44"/>
          <w:szCs w:val="44"/>
          <w:lang w:val="en-US" w:eastAsia="zh-CN"/>
        </w:rPr>
        <w:t>及评分细则</w:t>
      </w:r>
    </w:p>
    <w:p w14:paraId="34890D16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baseline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</w:p>
    <w:p w14:paraId="464436B8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baseline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各二级学院：</w:t>
      </w:r>
    </w:p>
    <w:p w14:paraId="38F25391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baseline"/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我校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2025年秋季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运动会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开幕式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于20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25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年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11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月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13日于綦江校区、渝北校区运动场同时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举行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，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本届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运动会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正值全校上下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迎接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本科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教学工作合格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评估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关键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之际，为营造昂扬向上、团结奋进的盛会氛围，集中展示各学院喜迎评估、奋发有为的精神风貌，经组委会研究，决定在开幕式议程中设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立“迎评促建展风采，青春律动向未来”大型团体操舞展演环节。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现将有关事项通知如下：</w:t>
      </w:r>
    </w:p>
    <w:p w14:paraId="1A2EDB6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 w:val="0"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textAlignment w:val="baseline"/>
        <w:rPr>
          <w:rFonts w:hint="eastAsia" w:ascii="方正黑体_GBK" w:hAnsi="方正黑体_GBK" w:eastAsia="方正黑体_GBK" w:cs="方正黑体_GBK"/>
          <w:b/>
          <w:bCs/>
          <w:sz w:val="32"/>
          <w:szCs w:val="32"/>
        </w:rPr>
      </w:pPr>
      <w:r>
        <w:rPr>
          <w:rFonts w:hint="eastAsia" w:ascii="方正黑体_GBK" w:hAnsi="方正黑体_GBK" w:eastAsia="方正黑体_GBK" w:cs="方正黑体_GBK"/>
          <w:b/>
          <w:bCs/>
          <w:sz w:val="32"/>
          <w:szCs w:val="32"/>
          <w:lang w:val="en-US" w:eastAsia="zh-CN"/>
        </w:rPr>
        <w:t>一、</w:t>
      </w:r>
      <w:r>
        <w:rPr>
          <w:rFonts w:hint="eastAsia" w:ascii="方正黑体_GBK" w:hAnsi="方正黑体_GBK" w:eastAsia="方正黑体_GBK" w:cs="方正黑体_GBK"/>
          <w:b/>
          <w:bCs/>
          <w:sz w:val="32"/>
          <w:szCs w:val="32"/>
        </w:rPr>
        <w:t>展演性质</w:t>
      </w:r>
    </w:p>
    <w:p w14:paraId="53B0004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 w:val="0"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baseline"/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本次团体操舞表演是运动会开幕式的重要组成部分，是展示各学院凝聚力、创造力与学生综合素质的集体荣誉展示平台，旨在为运动会添彩，为本科教学工作合格评估助力。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 xml:space="preserve"> </w:t>
      </w:r>
    </w:p>
    <w:p w14:paraId="293F41C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 w:val="0"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textAlignment w:val="baseline"/>
        <w:rPr>
          <w:rFonts w:hint="default" w:ascii="方正黑体_GBK" w:hAnsi="方正黑体_GBK" w:eastAsia="方正黑体_GBK" w:cs="方正黑体_GBK"/>
          <w:b/>
          <w:bCs/>
          <w:sz w:val="32"/>
          <w:szCs w:val="32"/>
          <w:lang w:val="en-US" w:eastAsia="zh-CN"/>
        </w:rPr>
      </w:pPr>
      <w:r>
        <w:rPr>
          <w:rFonts w:hint="default" w:ascii="方正黑体_GBK" w:hAnsi="方正黑体_GBK" w:eastAsia="方正黑体_GBK" w:cs="方正黑体_GBK"/>
          <w:b/>
          <w:bCs/>
          <w:sz w:val="32"/>
          <w:szCs w:val="32"/>
          <w:lang w:val="en-US" w:eastAsia="zh-CN"/>
        </w:rPr>
        <w:t>二、参赛单位</w:t>
      </w:r>
    </w:p>
    <w:p w14:paraId="725C0AC7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baseline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 xml:space="preserve">各二级学院均须组建一支代表队参加 </w:t>
      </w:r>
    </w:p>
    <w:p w14:paraId="04D8DA5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 w:val="0"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textAlignment w:val="baseline"/>
        <w:rPr>
          <w:rFonts w:hint="default" w:ascii="方正黑体_GBK" w:hAnsi="方正黑体_GBK" w:eastAsia="方正黑体_GBK" w:cs="方正黑体_GBK"/>
          <w:b/>
          <w:bCs/>
          <w:sz w:val="32"/>
          <w:szCs w:val="32"/>
          <w:lang w:val="en-US" w:eastAsia="zh-CN"/>
        </w:rPr>
      </w:pPr>
      <w:r>
        <w:rPr>
          <w:rFonts w:hint="default" w:ascii="方正黑体_GBK" w:hAnsi="方正黑体_GBK" w:eastAsia="方正黑体_GBK" w:cs="方正黑体_GBK"/>
          <w:b/>
          <w:bCs/>
          <w:sz w:val="32"/>
          <w:szCs w:val="32"/>
          <w:lang w:val="en-US" w:eastAsia="zh-CN"/>
        </w:rPr>
        <w:t>三、参赛</w:t>
      </w:r>
      <w:r>
        <w:rPr>
          <w:rFonts w:hint="eastAsia" w:ascii="方正黑体_GBK" w:hAnsi="方正黑体_GBK" w:eastAsia="方正黑体_GBK" w:cs="方正黑体_GBK"/>
          <w:b/>
          <w:bCs/>
          <w:sz w:val="32"/>
          <w:szCs w:val="32"/>
          <w:lang w:val="en-US" w:eastAsia="zh-CN"/>
        </w:rPr>
        <w:t>时间及</w:t>
      </w:r>
      <w:r>
        <w:rPr>
          <w:rFonts w:hint="default" w:ascii="方正黑体_GBK" w:hAnsi="方正黑体_GBK" w:eastAsia="方正黑体_GBK" w:cs="方正黑体_GBK"/>
          <w:b/>
          <w:bCs/>
          <w:sz w:val="32"/>
          <w:szCs w:val="32"/>
          <w:lang w:val="en-US" w:eastAsia="zh-CN"/>
        </w:rPr>
        <w:t>地点</w:t>
      </w:r>
    </w:p>
    <w:p w14:paraId="4403572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 w:val="0"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baseline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时间：11月13日上午</w:t>
      </w:r>
    </w:p>
    <w:p w14:paraId="64568CE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 w:val="0"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baseline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地点：綦江校区、渝北校区田径场</w:t>
      </w:r>
    </w:p>
    <w:p w14:paraId="07AF71A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 w:val="0"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textAlignment w:val="baseline"/>
        <w:rPr>
          <w:rFonts w:hint="default" w:ascii="方正黑体_GBK" w:hAnsi="方正黑体_GBK" w:eastAsia="方正黑体_GBK" w:cs="方正黑体_GBK"/>
          <w:b/>
          <w:bCs/>
          <w:sz w:val="32"/>
          <w:szCs w:val="32"/>
          <w:lang w:val="en-US" w:eastAsia="zh-CN"/>
        </w:rPr>
      </w:pPr>
      <w:r>
        <w:rPr>
          <w:rFonts w:hint="default" w:ascii="方正黑体_GBK" w:hAnsi="方正黑体_GBK" w:eastAsia="方正黑体_GBK" w:cs="方正黑体_GBK"/>
          <w:b/>
          <w:bCs/>
          <w:sz w:val="32"/>
          <w:szCs w:val="32"/>
          <w:lang w:val="en-US" w:eastAsia="zh-CN"/>
        </w:rPr>
        <w:t>四、开幕式团体操比赛内容要求</w:t>
      </w:r>
    </w:p>
    <w:p w14:paraId="722DC06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 w:val="0"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baseline"/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1.主题鲜明：表演内容需紧扣“迎评促建”主题，积极向上，鼓励巧妙融入本学院学科专业特色、文化品牌或育人成果，展现学子对学校发展的信心与担当。</w:t>
      </w:r>
    </w:p>
    <w:p w14:paraId="7E96DCF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 w:val="0"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baseline"/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2.形式多样：表演形式为团体操舞，可广泛融合学生喜闻乐见的各项操、舞元素，可合理使用相关道具，力求动作整齐、充满活力、视觉效果好。</w:t>
      </w:r>
    </w:p>
    <w:p w14:paraId="44DE66D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 w:val="0"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baseline"/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3.规模与时长：每支代表队参演人数原则上不少于100人。节目时长严格控制在6分钟内。</w:t>
      </w:r>
    </w:p>
    <w:p w14:paraId="5E6237E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 w:val="0"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baseline"/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4.音乐与服装：音乐自选，节奏感强；服装统一，整洁美观，鼓励体现学院特色。</w:t>
      </w:r>
    </w:p>
    <w:p w14:paraId="0A7F38A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 w:val="0"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textAlignment w:val="baseline"/>
        <w:rPr>
          <w:rFonts w:hint="default" w:ascii="方正黑体_GBK" w:hAnsi="方正黑体_GBK" w:eastAsia="方正黑体_GBK" w:cs="方正黑体_GBK"/>
          <w:b/>
          <w:bCs/>
          <w:sz w:val="32"/>
          <w:szCs w:val="32"/>
          <w:lang w:val="en-US" w:eastAsia="zh-CN"/>
        </w:rPr>
      </w:pPr>
      <w:r>
        <w:rPr>
          <w:rFonts w:hint="default" w:ascii="方正黑体_GBK" w:hAnsi="方正黑体_GBK" w:eastAsia="方正黑体_GBK" w:cs="方正黑体_GBK"/>
          <w:b/>
          <w:bCs/>
          <w:sz w:val="32"/>
          <w:szCs w:val="32"/>
          <w:lang w:val="en-US" w:eastAsia="zh-CN"/>
        </w:rPr>
        <w:t>五、</w:t>
      </w:r>
      <w:r>
        <w:rPr>
          <w:rFonts w:hint="eastAsia" w:ascii="方正黑体_GBK" w:hAnsi="方正黑体_GBK" w:eastAsia="方正黑体_GBK" w:cs="方正黑体_GBK"/>
          <w:b/>
          <w:bCs/>
          <w:sz w:val="32"/>
          <w:szCs w:val="32"/>
          <w:lang w:val="en-US" w:eastAsia="zh-CN"/>
        </w:rPr>
        <w:t>工作安排</w:t>
      </w:r>
    </w:p>
    <w:p w14:paraId="3D0B366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 w:val="0"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baseline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1.节目报送：请各学院于10月24日12：00前，将节目名称、负责人、参演人数、音乐构想等信息报送至组委会（体育部陈明新：mingx3247@163.com）。</w:t>
      </w:r>
    </w:p>
    <w:p w14:paraId="30E8809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 w:val="0"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baseline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2.组织排练：各学院需指定专人负责，充分利用课余时间，安全、高效地组织排练。</w:t>
      </w:r>
    </w:p>
    <w:p w14:paraId="1B73E57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 w:val="0"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baseline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3.联合彩排：开幕式前将组织1次全体彩排（11月12日下午），以确保流程顺畅，各学院必须按要求参加。</w:t>
      </w:r>
    </w:p>
    <w:p w14:paraId="10FED5F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 w:val="0"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textAlignment w:val="baseline"/>
        <w:rPr>
          <w:rFonts w:hint="default" w:ascii="方正黑体_GBK" w:hAnsi="方正黑体_GBK" w:eastAsia="方正黑体_GBK" w:cs="方正黑体_GBK"/>
          <w:b/>
          <w:bCs/>
          <w:sz w:val="32"/>
          <w:szCs w:val="32"/>
          <w:lang w:val="en-US" w:eastAsia="zh-CN"/>
        </w:rPr>
      </w:pPr>
      <w:r>
        <w:rPr>
          <w:rFonts w:hint="default" w:ascii="方正黑体_GBK" w:hAnsi="方正黑体_GBK" w:eastAsia="方正黑体_GBK" w:cs="方正黑体_GBK"/>
          <w:b/>
          <w:bCs/>
          <w:sz w:val="32"/>
          <w:szCs w:val="32"/>
          <w:lang w:val="en-US" w:eastAsia="zh-CN"/>
        </w:rPr>
        <w:t>六、表彰与奖励</w:t>
      </w:r>
    </w:p>
    <w:p w14:paraId="4A54F62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 w:val="0"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baseline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组委会将根据各学院展演节目的主题契合度、艺术表现力、现场效果及组织情况进行综合评定（评分表附在通知末尾），颁发一、二、三等奖，并在运动会闭幕式上予以表彰。</w:t>
      </w:r>
    </w:p>
    <w:p w14:paraId="4CA2CC8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 w:val="0"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baseline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本次团体操舞展演是开幕式上的亮点环节，是献给全校师生的一场视觉与文化盛宴。请各学院高度重视，精心策划，认真组织，充分展现本院学子的青春风采与集体智慧，共同打造一届精彩、难忘、高水平的运动会开幕式。感谢各学院的大力支持与配合！</w:t>
      </w:r>
    </w:p>
    <w:p w14:paraId="3026E64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textAlignment w:val="baseline"/>
        <w:rPr>
          <w:rFonts w:hint="eastAsia" w:ascii="方正黑体_GBK" w:hAnsi="方正黑体_GBK" w:eastAsia="方正黑体_GBK" w:cs="方正黑体_GBK"/>
          <w:b/>
          <w:bCs/>
          <w:sz w:val="32"/>
          <w:szCs w:val="32"/>
          <w:lang w:val="en-US" w:eastAsia="zh-CN"/>
        </w:rPr>
      </w:pPr>
      <w:r>
        <w:rPr>
          <w:rFonts w:hint="eastAsia" w:ascii="方正黑体_GBK" w:hAnsi="方正黑体_GBK" w:eastAsia="方正黑体_GBK" w:cs="方正黑体_GBK"/>
          <w:b/>
          <w:bCs/>
          <w:kern w:val="2"/>
          <w:sz w:val="32"/>
          <w:szCs w:val="32"/>
          <w:lang w:val="en-US" w:eastAsia="zh-CN" w:bidi="ar-SA"/>
        </w:rPr>
        <w:t>七、</w:t>
      </w:r>
      <w:r>
        <w:rPr>
          <w:rFonts w:hint="eastAsia" w:ascii="方正黑体_GBK" w:hAnsi="方正黑体_GBK" w:eastAsia="方正黑体_GBK" w:cs="方正黑体_GBK"/>
          <w:b/>
          <w:bCs/>
          <w:sz w:val="32"/>
          <w:szCs w:val="32"/>
          <w:lang w:val="en-US" w:eastAsia="zh-CN"/>
        </w:rPr>
        <w:t>评分细则</w:t>
      </w:r>
    </w:p>
    <w:p w14:paraId="595BE39B">
      <w:pPr>
        <w:numPr>
          <w:ilvl w:val="0"/>
          <w:numId w:val="0"/>
        </w:numPr>
        <w:ind w:leftChars="0"/>
        <w:jc w:val="center"/>
        <w:rPr>
          <w:rFonts w:hint="eastAsia"/>
          <w:b/>
          <w:bCs/>
          <w:sz w:val="21"/>
          <w:szCs w:val="21"/>
          <w:lang w:val="en-US" w:eastAsia="zh-CN"/>
        </w:rPr>
      </w:pPr>
      <w:r>
        <w:rPr>
          <w:rFonts w:hint="eastAsia" w:ascii="方正黑体_GBK" w:hAnsi="方正黑体_GBK" w:eastAsia="方正黑体_GBK" w:cs="方正黑体_GBK"/>
          <w:b/>
          <w:bCs/>
          <w:sz w:val="32"/>
          <w:szCs w:val="32"/>
          <w:lang w:val="en-US" w:eastAsia="zh-CN"/>
        </w:rPr>
        <w:t xml:space="preserve">    </w:t>
      </w:r>
      <w:r>
        <w:rPr>
          <w:rFonts w:hint="eastAsia"/>
          <w:b/>
          <w:bCs/>
          <w:sz w:val="21"/>
          <w:szCs w:val="21"/>
          <w:lang w:val="en-US" w:eastAsia="zh-CN"/>
        </w:rPr>
        <w:t>“迎评促建”主题团体操舞比赛评分细则</w:t>
      </w:r>
    </w:p>
    <w:p w14:paraId="04DE6B83">
      <w:pPr>
        <w:numPr>
          <w:ilvl w:val="0"/>
          <w:numId w:val="0"/>
        </w:numPr>
        <w:ind w:leftChars="0"/>
        <w:rPr>
          <w:rFonts w:hint="eastAsia"/>
          <w:b/>
          <w:bCs/>
          <w:sz w:val="21"/>
          <w:szCs w:val="21"/>
          <w:lang w:val="en-US" w:eastAsia="zh-CN"/>
        </w:rPr>
      </w:pPr>
      <w:r>
        <w:rPr>
          <w:rFonts w:hint="eastAsia"/>
          <w:b/>
          <w:bCs/>
          <w:sz w:val="21"/>
          <w:szCs w:val="21"/>
          <w:lang w:val="en-US" w:eastAsia="zh-CN"/>
        </w:rPr>
        <w:t>总分：100分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47"/>
        <w:gridCol w:w="1041"/>
        <w:gridCol w:w="5334"/>
      </w:tblGrid>
      <w:tr w14:paraId="3680C3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47" w:type="dxa"/>
            <w:vAlign w:val="center"/>
          </w:tcPr>
          <w:p w14:paraId="6F6F9908">
            <w:pPr>
              <w:numPr>
                <w:ilvl w:val="0"/>
                <w:numId w:val="0"/>
              </w:numPr>
              <w:spacing w:line="240" w:lineRule="auto"/>
              <w:jc w:val="center"/>
              <w:rPr>
                <w:rFonts w:hint="default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1"/>
                <w:szCs w:val="21"/>
                <w:vertAlign w:val="baseline"/>
                <w:lang w:val="en-US" w:eastAsia="zh-CN"/>
              </w:rPr>
              <w:t>评分维度</w:t>
            </w:r>
          </w:p>
        </w:tc>
        <w:tc>
          <w:tcPr>
            <w:tcW w:w="1041" w:type="dxa"/>
            <w:vAlign w:val="center"/>
          </w:tcPr>
          <w:p w14:paraId="1DBB0466">
            <w:pPr>
              <w:numPr>
                <w:ilvl w:val="0"/>
                <w:numId w:val="0"/>
              </w:numPr>
              <w:spacing w:line="240" w:lineRule="auto"/>
              <w:jc w:val="center"/>
              <w:rPr>
                <w:rFonts w:hint="default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1"/>
                <w:szCs w:val="21"/>
                <w:vertAlign w:val="baseline"/>
                <w:lang w:val="en-US" w:eastAsia="zh-CN"/>
              </w:rPr>
              <w:t>分值</w:t>
            </w:r>
          </w:p>
        </w:tc>
        <w:tc>
          <w:tcPr>
            <w:tcW w:w="5334" w:type="dxa"/>
            <w:vAlign w:val="center"/>
          </w:tcPr>
          <w:p w14:paraId="7C91D4A5">
            <w:pPr>
              <w:numPr>
                <w:ilvl w:val="0"/>
                <w:numId w:val="0"/>
              </w:numPr>
              <w:spacing w:line="240" w:lineRule="auto"/>
              <w:jc w:val="center"/>
              <w:rPr>
                <w:rFonts w:hint="default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1"/>
                <w:szCs w:val="21"/>
                <w:vertAlign w:val="baseline"/>
                <w:lang w:val="en-US" w:eastAsia="zh-CN"/>
              </w:rPr>
              <w:t>具体标准与要求</w:t>
            </w:r>
          </w:p>
        </w:tc>
      </w:tr>
      <w:tr w14:paraId="2E37B9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47" w:type="dxa"/>
            <w:vAlign w:val="center"/>
          </w:tcPr>
          <w:p w14:paraId="435D7EB5">
            <w:pPr>
              <w:numPr>
                <w:ilvl w:val="0"/>
                <w:numId w:val="0"/>
              </w:numPr>
              <w:spacing w:line="240" w:lineRule="auto"/>
              <w:ind w:left="0" w:leftChars="0" w:firstLine="0" w:firstLineChars="0"/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/>
                <w:b/>
                <w:bCs/>
                <w:sz w:val="21"/>
                <w:szCs w:val="21"/>
                <w:vertAlign w:val="baseline"/>
                <w:lang w:val="en-US" w:eastAsia="zh-CN"/>
              </w:rPr>
              <w:t>动作与完成度</w:t>
            </w:r>
          </w:p>
        </w:tc>
        <w:tc>
          <w:tcPr>
            <w:tcW w:w="1041" w:type="dxa"/>
            <w:vAlign w:val="center"/>
          </w:tcPr>
          <w:p w14:paraId="54088B06">
            <w:pPr>
              <w:numPr>
                <w:ilvl w:val="0"/>
                <w:numId w:val="0"/>
              </w:numPr>
              <w:spacing w:line="240" w:lineRule="auto"/>
              <w:ind w:left="0" w:leftChars="0" w:firstLine="0" w:firstLineChars="0"/>
              <w:jc w:val="center"/>
              <w:rPr>
                <w:rFonts w:hint="eastAsia" w:asciiTheme="minorHAnsi" w:hAnsiTheme="minorHAnsi" w:eastAsiaTheme="minorEastAsia" w:cstheme="minorBidi"/>
                <w:b/>
                <w:bCs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/>
                <w:b/>
                <w:bCs/>
                <w:sz w:val="21"/>
                <w:szCs w:val="21"/>
                <w:vertAlign w:val="baseline"/>
                <w:lang w:val="en-US" w:eastAsia="zh-CN"/>
              </w:rPr>
              <w:t>35分</w:t>
            </w:r>
          </w:p>
        </w:tc>
        <w:tc>
          <w:tcPr>
            <w:tcW w:w="5334" w:type="dxa"/>
            <w:vAlign w:val="center"/>
          </w:tcPr>
          <w:p w14:paraId="3D892C33">
            <w:pPr>
              <w:numPr>
                <w:ilvl w:val="0"/>
                <w:numId w:val="0"/>
              </w:numPr>
              <w:spacing w:line="240" w:lineRule="auto"/>
              <w:jc w:val="left"/>
              <w:rPr>
                <w:rFonts w:hint="eastAsia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1"/>
                <w:szCs w:val="21"/>
                <w:vertAlign w:val="baseline"/>
                <w:lang w:val="en-US" w:eastAsia="zh-CN"/>
              </w:rPr>
              <w:t>整齐度（15分）：</w:t>
            </w:r>
          </w:p>
          <w:p w14:paraId="6418DB05">
            <w:pPr>
              <w:numPr>
                <w:ilvl w:val="0"/>
                <w:numId w:val="0"/>
              </w:numPr>
              <w:spacing w:line="240" w:lineRule="auto"/>
              <w:ind w:firstLine="420" w:firstLineChars="200"/>
              <w:jc w:val="left"/>
              <w:rPr>
                <w:rFonts w:hint="eastAsia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队形变化清晰、整齐划一，动作节奏与音乐节拍一致，整体协调性强。</w:t>
            </w:r>
          </w:p>
          <w:p w14:paraId="1386FFEC">
            <w:pPr>
              <w:numPr>
                <w:ilvl w:val="0"/>
                <w:numId w:val="0"/>
              </w:numPr>
              <w:spacing w:line="240" w:lineRule="auto"/>
              <w:jc w:val="left"/>
              <w:rPr>
                <w:rFonts w:hint="eastAsia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1"/>
                <w:szCs w:val="21"/>
                <w:vertAlign w:val="baseline"/>
                <w:lang w:val="en-US" w:eastAsia="zh-CN"/>
              </w:rPr>
              <w:t>动作质量（15分）：</w:t>
            </w:r>
          </w:p>
          <w:p w14:paraId="33DBED84">
            <w:pPr>
              <w:numPr>
                <w:ilvl w:val="0"/>
                <w:numId w:val="0"/>
              </w:numPr>
              <w:spacing w:line="240" w:lineRule="auto"/>
              <w:ind w:firstLine="420" w:firstLineChars="200"/>
              <w:jc w:val="left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动作准确、到位、流畅，技术难度适中，能体现团体操舞的力与美。</w:t>
            </w:r>
          </w:p>
          <w:p w14:paraId="63C8BF08">
            <w:pPr>
              <w:numPr>
                <w:ilvl w:val="0"/>
                <w:numId w:val="0"/>
              </w:numPr>
              <w:spacing w:line="240" w:lineRule="auto"/>
              <w:jc w:val="left"/>
              <w:rPr>
                <w:rFonts w:hint="eastAsia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1"/>
                <w:szCs w:val="21"/>
                <w:vertAlign w:val="baseline"/>
                <w:lang w:val="en-US" w:eastAsia="zh-CN"/>
              </w:rPr>
              <w:t>完成情况（5分）：</w:t>
            </w:r>
          </w:p>
          <w:p w14:paraId="5FA12DC3">
            <w:pPr>
              <w:numPr>
                <w:ilvl w:val="0"/>
                <w:numId w:val="0"/>
              </w:numPr>
              <w:spacing w:line="240" w:lineRule="auto"/>
              <w:ind w:left="0" w:leftChars="0" w:firstLine="420" w:firstLineChars="200"/>
              <w:jc w:val="left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表演完整，无明显失误，进退场迅速、有序。</w:t>
            </w:r>
          </w:p>
        </w:tc>
      </w:tr>
      <w:tr w14:paraId="4D4726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47" w:type="dxa"/>
            <w:vAlign w:val="center"/>
          </w:tcPr>
          <w:p w14:paraId="7E0DB11A">
            <w:pPr>
              <w:numPr>
                <w:ilvl w:val="0"/>
                <w:numId w:val="0"/>
              </w:numPr>
              <w:spacing w:line="240" w:lineRule="auto"/>
              <w:jc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1"/>
                <w:szCs w:val="21"/>
                <w:vertAlign w:val="baseline"/>
                <w:lang w:val="en-US" w:eastAsia="zh-CN"/>
              </w:rPr>
              <w:t>主题与创意</w:t>
            </w:r>
          </w:p>
        </w:tc>
        <w:tc>
          <w:tcPr>
            <w:tcW w:w="1041" w:type="dxa"/>
            <w:vAlign w:val="center"/>
          </w:tcPr>
          <w:p w14:paraId="30BAAC85">
            <w:pPr>
              <w:numPr>
                <w:ilvl w:val="0"/>
                <w:numId w:val="0"/>
              </w:numPr>
              <w:spacing w:line="240" w:lineRule="auto"/>
              <w:jc w:val="center"/>
              <w:rPr>
                <w:rFonts w:hint="default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1"/>
                <w:szCs w:val="21"/>
                <w:vertAlign w:val="baseline"/>
                <w:lang w:val="en-US" w:eastAsia="zh-CN"/>
              </w:rPr>
              <w:t>30分</w:t>
            </w:r>
          </w:p>
        </w:tc>
        <w:tc>
          <w:tcPr>
            <w:tcW w:w="5334" w:type="dxa"/>
            <w:vAlign w:val="center"/>
          </w:tcPr>
          <w:p w14:paraId="364AC041">
            <w:pPr>
              <w:numPr>
                <w:ilvl w:val="0"/>
                <w:numId w:val="0"/>
              </w:numPr>
              <w:spacing w:line="240" w:lineRule="auto"/>
              <w:jc w:val="both"/>
              <w:rPr>
                <w:rFonts w:hint="eastAsia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1"/>
                <w:szCs w:val="21"/>
                <w:vertAlign w:val="baseline"/>
                <w:lang w:val="en-US" w:eastAsia="zh-CN"/>
              </w:rPr>
              <w:t>主题契合（15分）：</w:t>
            </w:r>
          </w:p>
          <w:p w14:paraId="6334FC2F">
            <w:pPr>
              <w:numPr>
                <w:ilvl w:val="0"/>
                <w:numId w:val="0"/>
              </w:numPr>
              <w:spacing w:line="240" w:lineRule="auto"/>
              <w:ind w:firstLine="420" w:firstLineChars="200"/>
              <w:jc w:val="both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节目编排紧密围绕“迎评促建”主题，能巧妙融入学院专业特色（如院徽、专业符号、实验器材模型等元素）或展现学风建设、学生发展成果，内涵深刻，积极向上。</w:t>
            </w:r>
          </w:p>
          <w:p w14:paraId="55CDC4B9">
            <w:pPr>
              <w:numPr>
                <w:ilvl w:val="0"/>
                <w:numId w:val="0"/>
              </w:numPr>
              <w:spacing w:line="240" w:lineRule="auto"/>
              <w:jc w:val="both"/>
              <w:rPr>
                <w:rFonts w:hint="eastAsia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1"/>
                <w:szCs w:val="21"/>
                <w:vertAlign w:val="baseline"/>
                <w:lang w:val="en-US" w:eastAsia="zh-CN"/>
              </w:rPr>
              <w:t>创意新颖（15分）：</w:t>
            </w:r>
          </w:p>
          <w:p w14:paraId="30B8B3A0">
            <w:pPr>
              <w:numPr>
                <w:ilvl w:val="0"/>
                <w:numId w:val="0"/>
              </w:numPr>
              <w:spacing w:line="240" w:lineRule="auto"/>
              <w:ind w:firstLine="420" w:firstLineChars="200"/>
              <w:jc w:val="both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构思巧妙，编排有独创性，表现形式新颖，能给人留下深刻印象。</w:t>
            </w:r>
          </w:p>
        </w:tc>
      </w:tr>
      <w:tr w14:paraId="0119D9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47" w:type="dxa"/>
            <w:vAlign w:val="center"/>
          </w:tcPr>
          <w:p w14:paraId="764F72C4">
            <w:pPr>
              <w:numPr>
                <w:ilvl w:val="0"/>
                <w:numId w:val="0"/>
              </w:numPr>
              <w:spacing w:line="240" w:lineRule="auto"/>
              <w:jc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1"/>
                <w:szCs w:val="21"/>
                <w:vertAlign w:val="baseline"/>
                <w:lang w:val="en-US" w:eastAsia="zh-CN"/>
              </w:rPr>
              <w:t>艺术表现力</w:t>
            </w:r>
          </w:p>
        </w:tc>
        <w:tc>
          <w:tcPr>
            <w:tcW w:w="1041" w:type="dxa"/>
            <w:vAlign w:val="center"/>
          </w:tcPr>
          <w:p w14:paraId="2FA5A897">
            <w:pPr>
              <w:numPr>
                <w:ilvl w:val="0"/>
                <w:numId w:val="0"/>
              </w:numPr>
              <w:spacing w:line="240" w:lineRule="auto"/>
              <w:jc w:val="center"/>
              <w:rPr>
                <w:rFonts w:hint="default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1"/>
                <w:szCs w:val="21"/>
                <w:vertAlign w:val="baseline"/>
                <w:lang w:val="en-US" w:eastAsia="zh-CN"/>
              </w:rPr>
              <w:t>20分</w:t>
            </w:r>
          </w:p>
        </w:tc>
        <w:tc>
          <w:tcPr>
            <w:tcW w:w="5334" w:type="dxa"/>
            <w:vAlign w:val="center"/>
          </w:tcPr>
          <w:p w14:paraId="25C2F1B9">
            <w:pPr>
              <w:numPr>
                <w:ilvl w:val="0"/>
                <w:numId w:val="0"/>
              </w:numPr>
              <w:spacing w:line="240" w:lineRule="auto"/>
              <w:jc w:val="left"/>
              <w:rPr>
                <w:rFonts w:hint="eastAsia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1"/>
                <w:szCs w:val="21"/>
                <w:vertAlign w:val="baseline"/>
                <w:lang w:val="en-US" w:eastAsia="zh-CN"/>
              </w:rPr>
              <w:t>表现力（10分）：</w:t>
            </w:r>
          </w:p>
          <w:p w14:paraId="4B5C3DBA">
            <w:pPr>
              <w:numPr>
                <w:ilvl w:val="0"/>
                <w:numId w:val="0"/>
              </w:numPr>
              <w:spacing w:line="240" w:lineRule="auto"/>
              <w:ind w:firstLine="420" w:firstLineChars="200"/>
              <w:jc w:val="left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演员表情丰富、充满激情与活力，能通过表演有效感染观众，展现大学生青春风采。</w:t>
            </w:r>
          </w:p>
          <w:p w14:paraId="2E035889">
            <w:pPr>
              <w:numPr>
                <w:ilvl w:val="0"/>
                <w:numId w:val="0"/>
              </w:numPr>
              <w:spacing w:line="240" w:lineRule="auto"/>
              <w:jc w:val="left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1"/>
                <w:szCs w:val="21"/>
                <w:vertAlign w:val="baseline"/>
                <w:lang w:val="en-US" w:eastAsia="zh-CN"/>
              </w:rPr>
              <w:t>音乐与服装（10分）：</w:t>
            </w:r>
          </w:p>
          <w:p w14:paraId="0E8ABD15">
            <w:pPr>
              <w:numPr>
                <w:ilvl w:val="0"/>
                <w:numId w:val="0"/>
              </w:numPr>
              <w:spacing w:line="240" w:lineRule="auto"/>
              <w:ind w:firstLine="420" w:firstLineChars="200"/>
              <w:jc w:val="left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音乐选择贴合运动会背景及展演主题，剪辑流畅；服装、道具、妆造与节目主题、风格一致，增强视觉效果。</w:t>
            </w:r>
          </w:p>
        </w:tc>
      </w:tr>
      <w:tr w14:paraId="0561C9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47" w:type="dxa"/>
            <w:vAlign w:val="center"/>
          </w:tcPr>
          <w:p w14:paraId="28AC4A33">
            <w:pPr>
              <w:numPr>
                <w:ilvl w:val="0"/>
                <w:numId w:val="0"/>
              </w:numPr>
              <w:spacing w:line="240" w:lineRule="auto"/>
              <w:jc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1"/>
                <w:szCs w:val="21"/>
                <w:vertAlign w:val="baseline"/>
                <w:lang w:val="en-US" w:eastAsia="zh-CN"/>
              </w:rPr>
              <w:t>团队规模与整体效果</w:t>
            </w:r>
          </w:p>
        </w:tc>
        <w:tc>
          <w:tcPr>
            <w:tcW w:w="1041" w:type="dxa"/>
            <w:vAlign w:val="center"/>
          </w:tcPr>
          <w:p w14:paraId="09A8C97B">
            <w:pPr>
              <w:numPr>
                <w:ilvl w:val="0"/>
                <w:numId w:val="0"/>
              </w:numPr>
              <w:spacing w:line="240" w:lineRule="auto"/>
              <w:jc w:val="center"/>
              <w:rPr>
                <w:rFonts w:hint="default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1"/>
                <w:szCs w:val="21"/>
                <w:vertAlign w:val="baseline"/>
                <w:lang w:val="en-US" w:eastAsia="zh-CN"/>
              </w:rPr>
              <w:t>15分</w:t>
            </w:r>
          </w:p>
        </w:tc>
        <w:tc>
          <w:tcPr>
            <w:tcW w:w="5334" w:type="dxa"/>
            <w:vAlign w:val="center"/>
          </w:tcPr>
          <w:p w14:paraId="73CE2456">
            <w:pPr>
              <w:numPr>
                <w:ilvl w:val="0"/>
                <w:numId w:val="0"/>
              </w:numPr>
              <w:spacing w:line="240" w:lineRule="auto"/>
              <w:jc w:val="left"/>
              <w:rPr>
                <w:rFonts w:hint="eastAsia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1"/>
                <w:szCs w:val="21"/>
                <w:vertAlign w:val="baseline"/>
                <w:lang w:val="en-US" w:eastAsia="zh-CN"/>
              </w:rPr>
              <w:t>团队规模（5分）：</w:t>
            </w:r>
          </w:p>
          <w:p w14:paraId="13F9BDF2">
            <w:pPr>
              <w:numPr>
                <w:ilvl w:val="0"/>
                <w:numId w:val="0"/>
              </w:numPr>
              <w:spacing w:line="240" w:lineRule="auto"/>
              <w:ind w:firstLine="420" w:firstLineChars="200"/>
              <w:jc w:val="left"/>
              <w:rPr>
                <w:rFonts w:hint="eastAsia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参赛人数达到规定要求，阵容壮观，全体队员精神饱满、朝气蓬勃，展现大学生青春风采。</w:t>
            </w:r>
          </w:p>
          <w:p w14:paraId="70AB390F">
            <w:pPr>
              <w:numPr>
                <w:ilvl w:val="0"/>
                <w:numId w:val="0"/>
              </w:numPr>
              <w:spacing w:line="240" w:lineRule="auto"/>
              <w:jc w:val="left"/>
              <w:rPr>
                <w:rFonts w:hint="eastAsia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1"/>
                <w:szCs w:val="21"/>
                <w:vertAlign w:val="baseline"/>
                <w:lang w:val="en-US" w:eastAsia="zh-CN"/>
              </w:rPr>
              <w:t>视觉冲击（5分）：</w:t>
            </w:r>
          </w:p>
          <w:p w14:paraId="1800C0EF">
            <w:pPr>
              <w:numPr>
                <w:ilvl w:val="0"/>
                <w:numId w:val="0"/>
              </w:numPr>
              <w:spacing w:line="240" w:lineRule="auto"/>
              <w:ind w:firstLine="420" w:firstLineChars="200"/>
              <w:jc w:val="left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道具运用合理，队形构图美观，有层次，整体视觉效果突出，具有冲击力和艺术感染力。</w:t>
            </w:r>
          </w:p>
          <w:p w14:paraId="701D6759">
            <w:pPr>
              <w:numPr>
                <w:ilvl w:val="0"/>
                <w:numId w:val="0"/>
              </w:numPr>
              <w:spacing w:line="240" w:lineRule="auto"/>
              <w:jc w:val="left"/>
              <w:rPr>
                <w:rFonts w:hint="eastAsia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1"/>
                <w:szCs w:val="21"/>
                <w:vertAlign w:val="baseline"/>
                <w:lang w:val="en-US" w:eastAsia="zh-CN"/>
              </w:rPr>
              <w:t>现场反响（5分）：</w:t>
            </w:r>
          </w:p>
          <w:p w14:paraId="3F85876F">
            <w:pPr>
              <w:numPr>
                <w:ilvl w:val="0"/>
                <w:numId w:val="0"/>
              </w:numPr>
              <w:spacing w:line="240" w:lineRule="auto"/>
              <w:ind w:firstLine="420" w:firstLineChars="200"/>
              <w:jc w:val="left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表演能调动现场气氛，获得观众热烈反响。</w:t>
            </w:r>
          </w:p>
        </w:tc>
      </w:tr>
    </w:tbl>
    <w:p w14:paraId="3850521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 w:val="0"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textAlignment w:val="baseline"/>
        <w:rPr>
          <w:rFonts w:hint="default" w:ascii="方正黑体_GBK" w:hAnsi="方正黑体_GBK" w:eastAsia="方正黑体_GBK" w:cs="方正黑体_GBK"/>
          <w:b/>
          <w:bCs/>
          <w:sz w:val="32"/>
          <w:szCs w:val="32"/>
          <w:lang w:val="en-US" w:eastAsia="zh-CN"/>
        </w:rPr>
      </w:pPr>
      <w:bookmarkStart w:id="0" w:name="_GoBack"/>
      <w:r>
        <w:rPr>
          <w:rFonts w:hint="eastAsia" w:ascii="方正黑体_GBK" w:hAnsi="方正黑体_GBK" w:eastAsia="方正黑体_GBK" w:cs="方正黑体_GBK"/>
          <w:b/>
          <w:bCs/>
          <w:sz w:val="32"/>
          <w:szCs w:val="32"/>
          <w:lang w:val="en-US" w:eastAsia="zh-CN"/>
        </w:rPr>
        <w:t>八</w:t>
      </w:r>
      <w:r>
        <w:rPr>
          <w:rFonts w:hint="default" w:ascii="方正黑体_GBK" w:hAnsi="方正黑体_GBK" w:eastAsia="方正黑体_GBK" w:cs="方正黑体_GBK"/>
          <w:b/>
          <w:bCs/>
          <w:sz w:val="32"/>
          <w:szCs w:val="32"/>
          <w:lang w:val="en-US" w:eastAsia="zh-CN"/>
        </w:rPr>
        <w:t>、本规程解释权归属于重庆外语外事学院2025年秋季运动会竞赛委员会，未尽事宜另行通知。</w:t>
      </w:r>
    </w:p>
    <w:bookmarkEnd w:id="0"/>
    <w:p w14:paraId="2A14BDC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560"/>
        <w:textAlignment w:val="baseline"/>
        <w:rPr>
          <w:rFonts w:hint="default" w:ascii="Times New Roman" w:hAnsi="Times New Roman" w:eastAsia="方正仿宋_GBK" w:cs="Times New Roman"/>
          <w:sz w:val="32"/>
          <w:szCs w:val="32"/>
        </w:rPr>
      </w:pPr>
    </w:p>
    <w:p w14:paraId="4585F18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rPr>
          <w:rFonts w:hint="default" w:ascii="Times New Roman" w:hAnsi="Times New Roman" w:eastAsia="方正仿宋_GBK" w:cs="Times New Roman"/>
          <w:sz w:val="32"/>
          <w:szCs w:val="32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42ACA788-78FB-495F-B42A-BABECE73EE70}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2" w:fontKey="{5B669A4D-8D8C-4496-847B-FB36E4C17BE3}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3" w:fontKey="{1172E0F3-89AC-4D3D-BF2C-445AB16ADEF2}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4" w:fontKey="{5713E402-60FD-413F-A7A5-C941CD769E03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DAD6F08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8514C99">
                          <w:pPr>
                            <w:pStyle w:val="2"/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8514C99">
                    <w:pPr>
                      <w:pStyle w:val="2"/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Y2OTM5ZTVmZDIwMWVjMWE3MDk3NDAwYTM3ZjBkMDIifQ=="/>
  </w:docVars>
  <w:rsids>
    <w:rsidRoot w:val="00000000"/>
    <w:rsid w:val="123705B3"/>
    <w:rsid w:val="1F473C9A"/>
    <w:rsid w:val="2564005E"/>
    <w:rsid w:val="2FC224AB"/>
    <w:rsid w:val="348C744F"/>
    <w:rsid w:val="43D326C6"/>
    <w:rsid w:val="4FA67DB9"/>
    <w:rsid w:val="51101702"/>
    <w:rsid w:val="56C13637"/>
    <w:rsid w:val="56D57BC4"/>
    <w:rsid w:val="57E41C62"/>
    <w:rsid w:val="5E7D126D"/>
    <w:rsid w:val="5F066F37"/>
    <w:rsid w:val="67C021CA"/>
    <w:rsid w:val="694D78B5"/>
    <w:rsid w:val="6A69010E"/>
    <w:rsid w:val="72D37875"/>
    <w:rsid w:val="79D0629D"/>
    <w:rsid w:val="7C482A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Calibri" w:hAnsi="Calibri" w:eastAsia="宋体" w:cs="Calibri"/>
      <w:kern w:val="2"/>
      <w:sz w:val="21"/>
      <w:szCs w:val="21"/>
      <w:lang w:val="en-US" w:eastAsia="zh-CN" w:bidi="ar-SA"/>
    </w:rPr>
  </w:style>
  <w:style w:type="character" w:default="1" w:styleId="6">
    <w:name w:val="Default Paragraph Font"/>
    <w:autoRedefine/>
    <w:semiHidden/>
    <w:qFormat/>
    <w:uiPriority w:val="0"/>
  </w:style>
  <w:style w:type="table" w:default="1" w:styleId="4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autoRedefine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cs="Times New Roman"/>
      <w:kern w:val="0"/>
      <w:sz w:val="18"/>
      <w:szCs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7">
    <w:name w:val="List Paragraph"/>
    <w:basedOn w:val="1"/>
    <w:autoRedefine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1478</Words>
  <Characters>1537</Characters>
  <Lines>0</Lines>
  <Paragraphs>0</Paragraphs>
  <TotalTime>2</TotalTime>
  <ScaleCrop>false</ScaleCrop>
  <LinksUpToDate>false</LinksUpToDate>
  <CharactersWithSpaces>1543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2024-03-06T04:55:00Z</dcterms:created>
  <dc:creator>Administrator</dc:creator>
  <cp:lastModifiedBy>费宇澄</cp:lastModifiedBy>
  <dcterms:modified xsi:type="dcterms:W3CDTF">2025-10-16T02:12:27Z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7C84265EE1E74E518A48BF1CBB1146D8_13</vt:lpwstr>
  </property>
  <property fmtid="{D5CDD505-2E9C-101B-9397-08002B2CF9AE}" pid="4" name="KSOTemplateDocerSaveRecord">
    <vt:lpwstr>eyJoZGlkIjoiMjU3NWQ2Nzc0NjllMDc5MjA5MzM3YmJiMWFjM2YzMjkiLCJ1c2VySWQiOiIxNjIzMDIwMzQ0In0=</vt:lpwstr>
  </property>
</Properties>
</file>