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74C258">
      <w:pPr>
        <w:pStyle w:val="2"/>
        <w:adjustRightInd w:val="0"/>
        <w:snapToGrid w:val="0"/>
        <w:spacing w:before="200" w:after="200" w:line="240" w:lineRule="auto"/>
        <w:jc w:val="center"/>
        <w:rPr>
          <w:rFonts w:hint="eastAsia" w:cs="宋体" w:asciiTheme="minorEastAsia" w:hAnsiTheme="minorEastAsia" w:eastAsiaTheme="minorEastAsia"/>
          <w:b/>
          <w:bCs w:val="0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 w:eastAsiaTheme="minorEastAsia"/>
          <w:b/>
          <w:bCs w:val="0"/>
          <w:color w:val="000000"/>
          <w:kern w:val="0"/>
          <w:sz w:val="28"/>
          <w:szCs w:val="28"/>
          <w:shd w:val="clear" w:color="auto" w:fill="FFFFFF"/>
        </w:rPr>
        <w:t>重庆外语外事学院</w:t>
      </w:r>
    </w:p>
    <w:p w14:paraId="18857A20">
      <w:pPr>
        <w:pStyle w:val="2"/>
        <w:adjustRightInd w:val="0"/>
        <w:snapToGrid w:val="0"/>
        <w:spacing w:before="200" w:after="200" w:line="240" w:lineRule="auto"/>
        <w:jc w:val="center"/>
        <w:rPr>
          <w:rFonts w:hint="eastAsia" w:cs="宋体" w:asciiTheme="minorEastAsia" w:hAnsiTheme="minorEastAsia" w:eastAsiaTheme="minorEastAsia"/>
          <w:b/>
          <w:bCs w:val="0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 w:eastAsiaTheme="minorEastAsia"/>
          <w:b/>
          <w:bCs w:val="0"/>
          <w:color w:val="000000"/>
          <w:kern w:val="0"/>
          <w:sz w:val="28"/>
          <w:szCs w:val="28"/>
          <w:shd w:val="clear" w:color="auto" w:fill="FFFFFF"/>
        </w:rPr>
        <w:t>202</w:t>
      </w:r>
      <w:r>
        <w:rPr>
          <w:rFonts w:hint="eastAsia" w:cs="宋体" w:asciiTheme="minorEastAsia" w:hAnsiTheme="minorEastAsia" w:eastAsiaTheme="minorEastAsia"/>
          <w:b/>
          <w:bCs w:val="0"/>
          <w:color w:val="000000"/>
          <w:kern w:val="0"/>
          <w:sz w:val="28"/>
          <w:szCs w:val="28"/>
          <w:shd w:val="clear" w:color="auto" w:fill="FFFFFF"/>
          <w:lang w:eastAsia="zh-CN"/>
        </w:rPr>
        <w:t>5</w:t>
      </w:r>
      <w:r>
        <w:rPr>
          <w:rFonts w:hint="eastAsia" w:cs="宋体" w:asciiTheme="minorEastAsia" w:hAnsiTheme="minorEastAsia" w:eastAsiaTheme="minorEastAsia"/>
          <w:b/>
          <w:bCs w:val="0"/>
          <w:color w:val="000000"/>
          <w:kern w:val="0"/>
          <w:sz w:val="28"/>
          <w:szCs w:val="28"/>
          <w:shd w:val="clear" w:color="auto" w:fill="FFFFFF"/>
        </w:rPr>
        <w:t>年</w:t>
      </w:r>
      <w:r>
        <w:rPr>
          <w:rFonts w:hint="eastAsia" w:cs="宋体" w:asciiTheme="minorEastAsia" w:hAnsiTheme="minorEastAsia" w:eastAsiaTheme="minorEastAsia"/>
          <w:b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秋季运动会</w:t>
      </w:r>
      <w:r>
        <w:rPr>
          <w:rFonts w:hint="eastAsia" w:cs="宋体" w:asciiTheme="minorEastAsia" w:hAnsiTheme="minorEastAsia" w:eastAsiaTheme="minorEastAsia"/>
          <w:b/>
          <w:bCs w:val="0"/>
          <w:color w:val="000000"/>
          <w:kern w:val="0"/>
          <w:sz w:val="28"/>
          <w:szCs w:val="28"/>
          <w:shd w:val="clear" w:color="auto" w:fill="FFFFFF"/>
        </w:rPr>
        <w:t>乒乓球</w:t>
      </w:r>
      <w:r>
        <w:rPr>
          <w:rFonts w:hint="eastAsia" w:cs="宋体" w:asciiTheme="minorEastAsia" w:hAnsiTheme="minorEastAsia" w:eastAsiaTheme="minorEastAsia"/>
          <w:b/>
          <w:bCs w:val="0"/>
          <w:color w:val="000000"/>
          <w:kern w:val="0"/>
          <w:sz w:val="28"/>
          <w:szCs w:val="28"/>
          <w:shd w:val="clear" w:color="auto" w:fill="FFFFFF"/>
          <w:lang w:eastAsia="zh-CN"/>
        </w:rPr>
        <w:t>竞赛</w:t>
      </w:r>
      <w:r>
        <w:rPr>
          <w:rFonts w:hint="eastAsia" w:cs="宋体" w:asciiTheme="minorEastAsia" w:hAnsiTheme="minorEastAsia" w:eastAsiaTheme="minorEastAsia"/>
          <w:b/>
          <w:bCs w:val="0"/>
          <w:color w:val="000000"/>
          <w:kern w:val="0"/>
          <w:sz w:val="28"/>
          <w:szCs w:val="28"/>
          <w:shd w:val="clear" w:color="auto" w:fill="FFFFFF"/>
        </w:rPr>
        <w:t>规程</w:t>
      </w:r>
    </w:p>
    <w:p w14:paraId="5DB76F2E">
      <w:pPr>
        <w:pStyle w:val="2"/>
        <w:adjustRightInd w:val="0"/>
        <w:snapToGrid w:val="0"/>
        <w:spacing w:before="200" w:after="200" w:line="240" w:lineRule="auto"/>
        <w:rPr>
          <w:rFonts w:hint="default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一、主办单位： 重庆外语外事学院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  <w:lang w:eastAsia="zh-CN"/>
        </w:rPr>
        <w:t>体育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运动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  <w:lang w:eastAsia="zh-CN"/>
        </w:rPr>
        <w:t>委员会</w:t>
      </w:r>
    </w:p>
    <w:p w14:paraId="0383147C">
      <w:pPr>
        <w:pStyle w:val="2"/>
        <w:adjustRightInd w:val="0"/>
        <w:snapToGrid w:val="0"/>
        <w:spacing w:before="200" w:after="200" w:line="240" w:lineRule="auto"/>
        <w:rPr>
          <w:rFonts w:hint="default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二、承办单位： 重庆外语外事学院体育部</w:t>
      </w:r>
    </w:p>
    <w:p w14:paraId="321B69E8">
      <w:pPr>
        <w:pStyle w:val="2"/>
        <w:adjustRightInd w:val="0"/>
        <w:snapToGrid w:val="0"/>
        <w:spacing w:before="0" w:after="0" w:line="240" w:lineRule="auto"/>
        <w:ind w:left="0" w:leftChars="0" w:firstLine="1960" w:firstLineChars="700"/>
        <w:jc w:val="both"/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  <w:lang w:eastAsia="zh-CN"/>
        </w:rPr>
        <w:t>重庆外语外事学院学生体育协会</w:t>
      </w:r>
    </w:p>
    <w:p w14:paraId="0AD9AC67">
      <w:pPr>
        <w:pStyle w:val="2"/>
        <w:adjustRightInd w:val="0"/>
        <w:snapToGrid w:val="0"/>
        <w:spacing w:before="200" w:after="200" w:line="240" w:lineRule="auto"/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四、比赛时间： 202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  <w:lang w:eastAsia="zh-CN"/>
        </w:rPr>
        <w:t>5年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11月17日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（綦江校区）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  <w:lang w:eastAsia="zh-CN"/>
        </w:rPr>
        <w:t>、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202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  <w:lang w:eastAsia="zh-CN"/>
        </w:rPr>
        <w:t>5年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11月20日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（渝北校区）</w:t>
      </w:r>
    </w:p>
    <w:p w14:paraId="1D3EAA24">
      <w:pPr>
        <w:pStyle w:val="2"/>
        <w:adjustRightInd w:val="0"/>
        <w:snapToGrid w:val="0"/>
        <w:spacing w:before="200" w:after="200" w:line="240" w:lineRule="auto"/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五、比赛地点： 綦江校区体育馆</w:t>
      </w:r>
      <w:bookmarkStart w:id="0" w:name="_GoBack"/>
      <w:bookmarkEnd w:id="0"/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乒乓球馆、渝北校区乒乓球场</w:t>
      </w:r>
    </w:p>
    <w:p w14:paraId="5CBAD8F5">
      <w:pPr>
        <w:pStyle w:val="2"/>
        <w:adjustRightInd w:val="0"/>
        <w:snapToGrid w:val="0"/>
        <w:spacing w:before="200" w:after="200" w:line="240" w:lineRule="auto"/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六、竞赛项目： 男子团体、女子团体</w:t>
      </w:r>
    </w:p>
    <w:p w14:paraId="5D2D8695">
      <w:pPr>
        <w:pStyle w:val="2"/>
        <w:adjustRightInd w:val="0"/>
        <w:snapToGrid w:val="0"/>
        <w:spacing w:before="200" w:after="200" w:line="240" w:lineRule="auto"/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七、参赛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  <w:lang w:eastAsia="zh-CN"/>
        </w:rPr>
        <w:t>办法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：</w:t>
      </w:r>
    </w:p>
    <w:p w14:paraId="4A058257">
      <w:pPr>
        <w:pStyle w:val="2"/>
        <w:adjustRightInd w:val="0"/>
        <w:snapToGrid w:val="0"/>
        <w:spacing w:before="200" w:after="200" w:line="240" w:lineRule="auto"/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  <w:lang w:eastAsia="zh-CN"/>
        </w:rPr>
        <w:t>1、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两校区各二级学院分男、女组队参加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各组别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比赛。</w:t>
      </w:r>
    </w:p>
    <w:p w14:paraId="39F68452">
      <w:pPr>
        <w:pStyle w:val="2"/>
        <w:adjustRightInd w:val="0"/>
        <w:snapToGrid w:val="0"/>
        <w:spacing w:before="200" w:after="200" w:line="240" w:lineRule="auto"/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2、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甲组：本科2025级新生；乙组：本科2022、2023、2024级学生；丙组：专升本2024、2025级学生；丁组：本学院教职员工</w:t>
      </w:r>
    </w:p>
    <w:p w14:paraId="0E062D4E">
      <w:pPr>
        <w:pStyle w:val="2"/>
        <w:adjustRightInd w:val="0"/>
        <w:snapToGrid w:val="0"/>
        <w:spacing w:before="200" w:after="200" w:line="240" w:lineRule="auto"/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3、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以学校各二级学院为单位组队。入校未购买保险的学生，建议购买短期意外伤害险，如不购买参赛过程中出现意外伤害，赛事组织方不承担责任。</w:t>
      </w:r>
    </w:p>
    <w:p w14:paraId="0A530AEE">
      <w:pPr>
        <w:pStyle w:val="2"/>
        <w:adjustRightInd w:val="0"/>
        <w:snapToGrid w:val="0"/>
        <w:spacing w:before="200" w:after="200" w:line="240" w:lineRule="auto"/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八、比赛办法：</w:t>
      </w:r>
    </w:p>
    <w:p w14:paraId="124DC632">
      <w:pPr>
        <w:pStyle w:val="2"/>
        <w:adjustRightInd w:val="0"/>
        <w:snapToGrid w:val="0"/>
        <w:spacing w:before="200" w:after="200" w:line="240" w:lineRule="auto"/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1、比赛采用国家体育总局审定的最新《乒乓球竞赛规则》。</w:t>
      </w:r>
    </w:p>
    <w:p w14:paraId="098FB41C">
      <w:pPr>
        <w:pStyle w:val="2"/>
        <w:adjustRightInd w:val="0"/>
        <w:snapToGrid w:val="0"/>
        <w:spacing w:before="200" w:after="200" w:line="240" w:lineRule="auto"/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2、每队可报领队1人，教练员1人，团体赛每队男女各限报5人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  <w:lang w:eastAsia="zh-CN"/>
        </w:rPr>
        <w:t>（领队必须为个二级学院教师</w:t>
      </w:r>
      <w:r>
        <w:rPr>
          <w:rFonts w:hint="default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)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；</w:t>
      </w:r>
    </w:p>
    <w:p w14:paraId="2A4B1178">
      <w:pPr>
        <w:pStyle w:val="2"/>
        <w:adjustRightInd w:val="0"/>
        <w:snapToGrid w:val="0"/>
        <w:spacing w:before="200" w:after="200" w:line="240" w:lineRule="auto"/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  <w:lang w:eastAsia="zh-CN"/>
        </w:rPr>
        <w:t>3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、团体赛采用斯韦斯林杯赛制，小组循环赛采用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  <w:lang w:eastAsia="zh-CN"/>
        </w:rPr>
        <w:t>五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场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  <w:lang w:eastAsia="zh-CN"/>
        </w:rPr>
        <w:t>三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胜制，每场采用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  <w:lang w:eastAsia="zh-CN"/>
        </w:rPr>
        <w:t>3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局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  <w:lang w:eastAsia="zh-CN"/>
        </w:rPr>
        <w:t>2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胜制，每局11分，出场顺序为A—X、B—Y、C—Z、A—Y、B—X。</w:t>
      </w:r>
    </w:p>
    <w:p w14:paraId="69E8F09E">
      <w:pPr>
        <w:pStyle w:val="2"/>
        <w:adjustRightInd w:val="0"/>
        <w:snapToGrid w:val="0"/>
        <w:spacing w:before="200" w:after="200" w:line="240" w:lineRule="auto"/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  <w:lang w:eastAsia="zh-CN"/>
        </w:rPr>
        <w:t>4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、运动员持学生证参加比赛，各参赛单位报名后不得以任何原因更换运动员</w:t>
      </w:r>
    </w:p>
    <w:p w14:paraId="175BC6EE">
      <w:pPr>
        <w:pStyle w:val="2"/>
        <w:adjustRightInd w:val="0"/>
        <w:snapToGrid w:val="0"/>
        <w:spacing w:before="200" w:after="200" w:line="240" w:lineRule="auto"/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  <w:lang w:eastAsia="zh-CN"/>
        </w:rPr>
        <w:t>5、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运动员使用的球拍，除必须符合规则要求外，普通颗粒胶连同粘合剂厚度不得超过1.5毫米。</w:t>
      </w:r>
    </w:p>
    <w:p w14:paraId="47614CEC">
      <w:pPr>
        <w:pStyle w:val="2"/>
        <w:adjustRightInd w:val="0"/>
        <w:snapToGrid w:val="0"/>
        <w:spacing w:before="200" w:after="200" w:line="240" w:lineRule="auto"/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  <w:lang w:eastAsia="zh-CN"/>
        </w:rPr>
        <w:t>6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、比赛使用标准球台和40毫米大球。</w:t>
      </w:r>
    </w:p>
    <w:p w14:paraId="587014A1">
      <w:pPr>
        <w:pStyle w:val="2"/>
        <w:adjustRightInd w:val="0"/>
        <w:snapToGrid w:val="0"/>
        <w:spacing w:before="200" w:after="200" w:line="240" w:lineRule="auto"/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  <w:lang w:eastAsia="zh-CN"/>
        </w:rPr>
        <w:t>7、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运动员服装主体颜色不得是白色。</w:t>
      </w:r>
    </w:p>
    <w:p w14:paraId="06217D8B">
      <w:pPr>
        <w:pStyle w:val="2"/>
        <w:adjustRightInd w:val="0"/>
        <w:snapToGrid w:val="0"/>
        <w:spacing w:before="200" w:after="200" w:line="240" w:lineRule="auto"/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九、录取名次及奖励</w:t>
      </w:r>
    </w:p>
    <w:p w14:paraId="476D004A">
      <w:pPr>
        <w:pStyle w:val="2"/>
        <w:adjustRightInd w:val="0"/>
        <w:snapToGrid w:val="0"/>
        <w:spacing w:before="200" w:after="200" w:line="240" w:lineRule="auto"/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  <w:lang w:eastAsia="zh-CN"/>
        </w:rPr>
        <w:t>1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.两校区男、女团体组分别取前3给予奖励。</w:t>
      </w:r>
    </w:p>
    <w:p w14:paraId="713B7C0D">
      <w:pPr>
        <w:pStyle w:val="2"/>
        <w:adjustRightInd w:val="0"/>
        <w:snapToGrid w:val="0"/>
        <w:spacing w:before="200" w:after="200" w:line="240" w:lineRule="auto"/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十、裁判员和仲裁委员会</w:t>
      </w:r>
    </w:p>
    <w:p w14:paraId="27C3ED9E">
      <w:pPr>
        <w:pStyle w:val="2"/>
        <w:adjustRightInd w:val="0"/>
        <w:snapToGrid w:val="0"/>
        <w:spacing w:before="200" w:after="200" w:line="240" w:lineRule="auto"/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学院相关部门、体育部</w:t>
      </w:r>
    </w:p>
    <w:p w14:paraId="3945586A">
      <w:pPr>
        <w:pStyle w:val="2"/>
        <w:adjustRightInd w:val="0"/>
        <w:snapToGrid w:val="0"/>
        <w:spacing w:before="200" w:after="200" w:line="240" w:lineRule="auto"/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十一、报名要求</w:t>
      </w:r>
    </w:p>
    <w:p w14:paraId="1E055EE1">
      <w:pPr>
        <w:pStyle w:val="2"/>
        <w:adjustRightInd w:val="0"/>
        <w:snapToGrid w:val="0"/>
        <w:spacing w:before="200" w:after="200" w:line="240" w:lineRule="auto"/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（一）渝北校区各单位务必于202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  <w:lang w:eastAsia="zh-CN"/>
        </w:rPr>
        <w:t>5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年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11月7日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下午6点前，将报名表纸质版打印（盖公章）交渝北校区学院体育部办公室黄理老师处，电子版发邮箱：772543766@qq.com。联系人：黄理老师，联系电话：18580128124。</w:t>
      </w:r>
    </w:p>
    <w:p w14:paraId="42D9628F">
      <w:pPr>
        <w:pStyle w:val="2"/>
        <w:adjustRightInd w:val="0"/>
        <w:snapToGrid w:val="0"/>
        <w:spacing w:before="200" w:after="200" w:line="240" w:lineRule="auto"/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（二）綦江校区各单位务必于202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  <w:lang w:eastAsia="zh-CN"/>
        </w:rPr>
        <w:t>5年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11月7日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下午6点前，将报名表纸质版打印（盖公章）交綦江校区学院体育部办公室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黄理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老师处，电子版发邮箱：772543766@qq.com。联系人：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黄理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老师，联系电话：18580128124。报名表请勿重复发送。</w:t>
      </w:r>
    </w:p>
    <w:p w14:paraId="44872BCE">
      <w:pPr>
        <w:pStyle w:val="2"/>
        <w:adjustRightInd w:val="0"/>
        <w:snapToGrid w:val="0"/>
        <w:spacing w:before="200" w:after="200" w:line="240" w:lineRule="auto"/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（三）运动员持学生证参赛，各参赛单位报名后不得以任何原因更换运动员。</w:t>
      </w:r>
    </w:p>
    <w:p w14:paraId="7E1B5FBD">
      <w:pPr>
        <w:pStyle w:val="2"/>
        <w:adjustRightInd w:val="0"/>
        <w:snapToGrid w:val="0"/>
        <w:spacing w:before="200" w:after="200" w:line="240" w:lineRule="auto"/>
        <w:rPr>
          <w:rFonts w:hint="default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（四）请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綦江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校区各参赛队领队、教练于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  <w:lang w:eastAsia="zh-CN"/>
        </w:rPr>
        <w:t>-参加腾讯会议线上联席会。</w:t>
      </w:r>
    </w:p>
    <w:p w14:paraId="00C65568">
      <w:pPr>
        <w:pStyle w:val="2"/>
        <w:adjustRightInd w:val="0"/>
        <w:snapToGrid w:val="0"/>
        <w:spacing w:before="200" w:after="200" w:line="240" w:lineRule="auto"/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十二、其它未尽事宜，另行通知。本规程解释权、修改权属主办单位</w:t>
      </w:r>
    </w:p>
    <w:p w14:paraId="059C9B23">
      <w:pPr>
        <w:pStyle w:val="2"/>
        <w:adjustRightInd w:val="0"/>
        <w:snapToGrid w:val="0"/>
        <w:spacing w:before="200" w:after="200" w:line="240" w:lineRule="auto"/>
        <w:jc w:val="right"/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ab/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 xml:space="preserve"> 重庆外语外事学院体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  <w:lang w:eastAsia="zh-CN"/>
        </w:rPr>
        <w:t>育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运动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  <w:lang w:eastAsia="zh-CN"/>
        </w:rPr>
        <w:t>委员会</w:t>
      </w:r>
    </w:p>
    <w:p w14:paraId="67CF24D6">
      <w:pPr>
        <w:pStyle w:val="2"/>
        <w:adjustRightInd w:val="0"/>
        <w:snapToGrid w:val="0"/>
        <w:spacing w:before="200" w:after="200" w:line="240" w:lineRule="auto"/>
        <w:jc w:val="right"/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 xml:space="preserve">                                   202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  <w:lang w:eastAsia="zh-CN"/>
        </w:rPr>
        <w:t>5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年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10</w:t>
      </w:r>
      <w: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  <w:t>月</w:t>
      </w:r>
    </w:p>
    <w:p w14:paraId="10E970BB">
      <w:pPr>
        <w:pStyle w:val="2"/>
        <w:adjustRightInd w:val="0"/>
        <w:snapToGrid w:val="0"/>
        <w:spacing w:before="200" w:after="200" w:line="240" w:lineRule="auto"/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</w:pPr>
    </w:p>
    <w:p w14:paraId="2DF625FD">
      <w:pPr>
        <w:pStyle w:val="2"/>
        <w:adjustRightInd w:val="0"/>
        <w:snapToGrid w:val="0"/>
        <w:spacing w:before="200" w:after="200" w:line="240" w:lineRule="auto"/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</w:pPr>
    </w:p>
    <w:p w14:paraId="140DC233">
      <w:pP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</w:pPr>
    </w:p>
    <w:p w14:paraId="00395EAD">
      <w:pP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</w:pPr>
    </w:p>
    <w:p w14:paraId="16E19589">
      <w:pP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</w:pPr>
    </w:p>
    <w:p w14:paraId="2B3C96E5">
      <w:pPr>
        <w:rPr>
          <w:rFonts w:hint="eastAsia" w:cs="宋体" w:asciiTheme="minorEastAsia" w:hAnsiTheme="minorEastAsia" w:eastAsiaTheme="minorEastAsia"/>
          <w:b w:val="0"/>
          <w:color w:val="000000"/>
          <w:kern w:val="0"/>
          <w:sz w:val="28"/>
          <w:szCs w:val="28"/>
          <w:shd w:val="clear" w:color="auto" w:fill="FFFFFF"/>
        </w:rPr>
      </w:pPr>
    </w:p>
    <w:p w14:paraId="3663E2E0">
      <w:pPr>
        <w:rPr>
          <w:rFonts w:hint="eastAsia"/>
        </w:rPr>
      </w:pPr>
    </w:p>
    <w:p w14:paraId="6C90B758">
      <w:pPr>
        <w:jc w:val="center"/>
        <w:rPr>
          <w:rFonts w:hint="eastAsia" w:ascii="黑体" w:hAnsi="黑体" w:eastAsia="黑体"/>
          <w:color w:val="000000"/>
          <w:sz w:val="36"/>
          <w:szCs w:val="36"/>
          <w:shd w:val="clear" w:color="auto" w:fill="FFFFFF"/>
        </w:rPr>
      </w:pPr>
      <w:r>
        <w:rPr>
          <w:rFonts w:hint="eastAsia" w:ascii="黑体" w:hAnsi="黑体" w:eastAsia="黑体"/>
          <w:color w:val="000000"/>
          <w:sz w:val="36"/>
          <w:szCs w:val="36"/>
          <w:shd w:val="clear" w:color="auto" w:fill="FFFFFF"/>
        </w:rPr>
        <w:t>重庆外语外事学院</w:t>
      </w:r>
    </w:p>
    <w:p w14:paraId="2BD55707">
      <w:pPr>
        <w:pStyle w:val="8"/>
        <w:spacing w:before="156" w:beforeLines="50"/>
        <w:ind w:firstLine="0" w:firstLineChars="0"/>
        <w:jc w:val="center"/>
        <w:rPr>
          <w:rFonts w:hint="eastAsia"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color w:val="000000"/>
          <w:sz w:val="36"/>
          <w:szCs w:val="36"/>
          <w:shd w:val="clear" w:color="auto" w:fill="FFFFFF"/>
        </w:rPr>
        <w:t>2025年</w:t>
      </w:r>
      <w:r>
        <w:rPr>
          <w:rFonts w:hint="eastAsia" w:ascii="黑体" w:hAnsi="黑体" w:eastAsia="黑体"/>
          <w:color w:val="000000"/>
          <w:sz w:val="36"/>
          <w:szCs w:val="36"/>
          <w:shd w:val="clear" w:color="auto" w:fill="FFFFFF"/>
          <w:lang w:val="en-US" w:eastAsia="zh-CN"/>
        </w:rPr>
        <w:t>秋季运动会</w:t>
      </w:r>
      <w:r>
        <w:rPr>
          <w:rFonts w:hint="eastAsia" w:ascii="黑体" w:hAnsi="黑体" w:eastAsia="黑体"/>
          <w:color w:val="000000"/>
          <w:sz w:val="36"/>
          <w:szCs w:val="36"/>
          <w:shd w:val="clear" w:color="auto" w:fill="FFFFFF"/>
          <w:lang w:eastAsia="zh-CN"/>
        </w:rPr>
        <w:t>乒乓</w:t>
      </w:r>
      <w:r>
        <w:rPr>
          <w:rFonts w:hint="eastAsia" w:ascii="黑体" w:hAnsi="黑体" w:eastAsia="黑体"/>
          <w:color w:val="000000"/>
          <w:sz w:val="36"/>
          <w:szCs w:val="36"/>
          <w:shd w:val="clear" w:color="auto" w:fill="FFFFFF"/>
        </w:rPr>
        <w:t>球比赛</w:t>
      </w:r>
      <w:r>
        <w:rPr>
          <w:rFonts w:hint="eastAsia" w:ascii="黑体" w:hAnsi="黑体" w:eastAsia="黑体" w:cs="宋体"/>
          <w:sz w:val="36"/>
          <w:szCs w:val="36"/>
        </w:rPr>
        <w:t>报名表</w:t>
      </w:r>
    </w:p>
    <w:p w14:paraId="48FF40C3">
      <w:pPr>
        <w:pStyle w:val="8"/>
        <w:spacing w:before="156" w:beforeLines="50"/>
        <w:ind w:firstLine="0" w:firstLineChars="0"/>
        <w:rPr>
          <w:rFonts w:hint="eastAsia" w:ascii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 xml:space="preserve">二级学院：（盖章）        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 xml:space="preserve">       校区</w:t>
      </w:r>
      <w:r>
        <w:rPr>
          <w:rFonts w:hint="eastAsia" w:ascii="宋体"/>
          <w:b/>
          <w:bCs/>
          <w:sz w:val="28"/>
          <w:szCs w:val="28"/>
        </w:rPr>
        <w:t>：</w:t>
      </w:r>
      <w:r>
        <w:rPr>
          <w:rFonts w:hint="eastAsia" w:ascii="宋体"/>
          <w:b/>
          <w:bCs/>
          <w:sz w:val="28"/>
          <w:szCs w:val="28"/>
          <w:lang w:eastAsia="zh-CN"/>
        </w:rPr>
        <w:t>（</w:t>
      </w:r>
      <w:r>
        <w:rPr>
          <w:rFonts w:hint="eastAsia" w:ascii="宋体"/>
          <w:b/>
          <w:bCs/>
          <w:sz w:val="28"/>
          <w:szCs w:val="28"/>
          <w:lang w:val="en-US" w:eastAsia="zh-CN"/>
        </w:rPr>
        <w:t>渝北校区/綦江校区）</w:t>
      </w:r>
      <w:r>
        <w:rPr>
          <w:rFonts w:hint="eastAsia" w:ascii="宋体"/>
          <w:b/>
          <w:bCs/>
          <w:sz w:val="28"/>
          <w:szCs w:val="28"/>
        </w:rPr>
        <w:t xml:space="preserve"> </w:t>
      </w:r>
    </w:p>
    <w:p w14:paraId="06AF0497">
      <w:pPr>
        <w:pStyle w:val="8"/>
        <w:spacing w:before="156" w:beforeLines="50"/>
        <w:ind w:firstLine="0" w:firstLineChars="0"/>
        <w:rPr>
          <w:rFonts w:ascii="宋体"/>
          <w:b/>
          <w:bCs/>
          <w:sz w:val="28"/>
          <w:szCs w:val="28"/>
        </w:rPr>
      </w:pPr>
      <w:r>
        <w:rPr>
          <w:rFonts w:hint="eastAsia" w:ascii="宋体"/>
          <w:b/>
          <w:bCs/>
          <w:sz w:val="28"/>
          <w:szCs w:val="28"/>
          <w:lang w:val="en-US" w:eastAsia="zh-CN"/>
        </w:rPr>
        <w:t>组别：男子甲组/乙组/丙组/丁组   女子甲组/乙组/丙组/丁组</w:t>
      </w:r>
      <w:r>
        <w:rPr>
          <w:rFonts w:hint="eastAsia" w:ascii="宋体"/>
          <w:b/>
          <w:bCs/>
          <w:sz w:val="28"/>
          <w:szCs w:val="28"/>
        </w:rPr>
        <w:t xml:space="preserve">   </w:t>
      </w:r>
    </w:p>
    <w:p w14:paraId="2EAAA9AC">
      <w:pPr>
        <w:pStyle w:val="8"/>
        <w:spacing w:before="156" w:beforeLines="50"/>
        <w:ind w:firstLine="0" w:firstLineChars="0"/>
        <w:rPr>
          <w:rFonts w:hint="eastAsia" w:ascii="宋体"/>
          <w:b/>
          <w:bCs/>
          <w:sz w:val="28"/>
          <w:szCs w:val="28"/>
        </w:rPr>
      </w:pPr>
      <w:r>
        <w:rPr>
          <w:rFonts w:hint="eastAsia" w:ascii="宋体"/>
          <w:b/>
          <w:bCs/>
          <w:sz w:val="28"/>
          <w:szCs w:val="28"/>
        </w:rPr>
        <w:t xml:space="preserve">领队：                          手机：       </w:t>
      </w:r>
    </w:p>
    <w:p w14:paraId="7692B3F2">
      <w:pPr>
        <w:pStyle w:val="8"/>
        <w:spacing w:before="156" w:beforeLines="50"/>
        <w:ind w:firstLine="0" w:firstLineChars="0"/>
        <w:rPr>
          <w:rFonts w:ascii="宋体"/>
          <w:b/>
          <w:bCs/>
          <w:sz w:val="28"/>
          <w:szCs w:val="28"/>
        </w:rPr>
      </w:pPr>
      <w:r>
        <w:rPr>
          <w:rFonts w:hint="eastAsia" w:ascii="宋体"/>
          <w:b/>
          <w:bCs/>
          <w:sz w:val="28"/>
          <w:szCs w:val="28"/>
          <w:lang w:eastAsia="zh-CN"/>
        </w:rPr>
        <w:t>教练：                          手机：</w:t>
      </w:r>
      <w:r>
        <w:rPr>
          <w:rFonts w:hint="eastAsia" w:ascii="宋体"/>
          <w:b/>
          <w:bCs/>
          <w:sz w:val="28"/>
          <w:szCs w:val="28"/>
        </w:rPr>
        <w:t xml:space="preserve">    </w:t>
      </w:r>
    </w:p>
    <w:tbl>
      <w:tblPr>
        <w:tblStyle w:val="6"/>
        <w:tblpPr w:leftFromText="180" w:rightFromText="180" w:vertAnchor="text" w:horzAnchor="page" w:tblpX="1103" w:tblpY="846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3"/>
        <w:gridCol w:w="1070"/>
        <w:gridCol w:w="1070"/>
        <w:gridCol w:w="1070"/>
        <w:gridCol w:w="1207"/>
        <w:gridCol w:w="1928"/>
        <w:gridCol w:w="2056"/>
      </w:tblGrid>
      <w:tr w14:paraId="29838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73" w:type="dxa"/>
          </w:tcPr>
          <w:p w14:paraId="016E0ACA">
            <w:pPr>
              <w:widowControl/>
              <w:spacing w:line="4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070" w:type="dxa"/>
          </w:tcPr>
          <w:p w14:paraId="3FAAC16F">
            <w:pPr>
              <w:widowControl/>
              <w:spacing w:line="420" w:lineRule="atLeast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1070" w:type="dxa"/>
          </w:tcPr>
          <w:p w14:paraId="1492CA7E">
            <w:pPr>
              <w:widowControl/>
              <w:spacing w:line="420" w:lineRule="atLeast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1070" w:type="dxa"/>
          </w:tcPr>
          <w:p w14:paraId="13434C72">
            <w:pPr>
              <w:widowControl/>
              <w:spacing w:line="420" w:lineRule="atLeast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组别</w:t>
            </w:r>
          </w:p>
        </w:tc>
        <w:tc>
          <w:tcPr>
            <w:tcW w:w="1207" w:type="dxa"/>
          </w:tcPr>
          <w:p w14:paraId="6920282F">
            <w:pPr>
              <w:widowControl/>
              <w:spacing w:line="420" w:lineRule="atLeast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校区</w:t>
            </w:r>
          </w:p>
        </w:tc>
        <w:tc>
          <w:tcPr>
            <w:tcW w:w="1928" w:type="dxa"/>
          </w:tcPr>
          <w:p w14:paraId="5F829BEE">
            <w:pPr>
              <w:widowControl/>
              <w:spacing w:line="4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所在年级、班级</w:t>
            </w:r>
          </w:p>
        </w:tc>
        <w:tc>
          <w:tcPr>
            <w:tcW w:w="2056" w:type="dxa"/>
          </w:tcPr>
          <w:p w14:paraId="60331EA6">
            <w:pPr>
              <w:widowControl/>
              <w:spacing w:line="42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学号</w:t>
            </w:r>
          </w:p>
        </w:tc>
      </w:tr>
      <w:tr w14:paraId="58FF0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73" w:type="dxa"/>
          </w:tcPr>
          <w:p w14:paraId="473DF962">
            <w:pPr>
              <w:widowControl/>
              <w:spacing w:line="42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070" w:type="dxa"/>
          </w:tcPr>
          <w:p w14:paraId="28D1F332">
            <w:pPr>
              <w:widowControl/>
              <w:spacing w:line="420" w:lineRule="atLeast"/>
              <w:jc w:val="center"/>
            </w:pPr>
          </w:p>
        </w:tc>
        <w:tc>
          <w:tcPr>
            <w:tcW w:w="1070" w:type="dxa"/>
          </w:tcPr>
          <w:p w14:paraId="163AC310">
            <w:pPr>
              <w:widowControl/>
              <w:spacing w:line="420" w:lineRule="atLeast"/>
              <w:jc w:val="center"/>
            </w:pPr>
          </w:p>
        </w:tc>
        <w:tc>
          <w:tcPr>
            <w:tcW w:w="1070" w:type="dxa"/>
          </w:tcPr>
          <w:p w14:paraId="23F2A648">
            <w:pPr>
              <w:widowControl/>
              <w:spacing w:line="420" w:lineRule="atLeast"/>
              <w:jc w:val="center"/>
            </w:pPr>
          </w:p>
        </w:tc>
        <w:tc>
          <w:tcPr>
            <w:tcW w:w="1207" w:type="dxa"/>
          </w:tcPr>
          <w:p w14:paraId="5209A877">
            <w:pPr>
              <w:widowControl/>
              <w:spacing w:line="420" w:lineRule="atLeast"/>
              <w:jc w:val="center"/>
            </w:pPr>
          </w:p>
        </w:tc>
        <w:tc>
          <w:tcPr>
            <w:tcW w:w="1928" w:type="dxa"/>
          </w:tcPr>
          <w:p w14:paraId="47D9BF8E">
            <w:pPr>
              <w:widowControl/>
              <w:spacing w:line="420" w:lineRule="atLeast"/>
              <w:jc w:val="center"/>
            </w:pPr>
          </w:p>
        </w:tc>
        <w:tc>
          <w:tcPr>
            <w:tcW w:w="2056" w:type="dxa"/>
          </w:tcPr>
          <w:p w14:paraId="349A04CC">
            <w:pPr>
              <w:widowControl/>
              <w:spacing w:line="420" w:lineRule="atLeast"/>
              <w:jc w:val="center"/>
            </w:pPr>
          </w:p>
        </w:tc>
      </w:tr>
      <w:tr w14:paraId="3B82D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73" w:type="dxa"/>
          </w:tcPr>
          <w:p w14:paraId="74F31075">
            <w:pPr>
              <w:widowControl/>
              <w:spacing w:line="420" w:lineRule="atLeas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070" w:type="dxa"/>
          </w:tcPr>
          <w:p w14:paraId="689995C6">
            <w:pPr>
              <w:widowControl/>
              <w:spacing w:line="420" w:lineRule="atLeast"/>
              <w:jc w:val="center"/>
            </w:pPr>
          </w:p>
        </w:tc>
        <w:tc>
          <w:tcPr>
            <w:tcW w:w="1070" w:type="dxa"/>
          </w:tcPr>
          <w:p w14:paraId="50E1D3EC">
            <w:pPr>
              <w:widowControl/>
              <w:spacing w:line="420" w:lineRule="atLeast"/>
              <w:jc w:val="center"/>
            </w:pPr>
          </w:p>
        </w:tc>
        <w:tc>
          <w:tcPr>
            <w:tcW w:w="1070" w:type="dxa"/>
          </w:tcPr>
          <w:p w14:paraId="6310AF32">
            <w:pPr>
              <w:widowControl/>
              <w:spacing w:line="420" w:lineRule="atLeast"/>
              <w:jc w:val="center"/>
            </w:pPr>
          </w:p>
        </w:tc>
        <w:tc>
          <w:tcPr>
            <w:tcW w:w="1207" w:type="dxa"/>
          </w:tcPr>
          <w:p w14:paraId="226B7D67">
            <w:pPr>
              <w:widowControl/>
              <w:spacing w:line="420" w:lineRule="atLeast"/>
              <w:jc w:val="center"/>
            </w:pPr>
          </w:p>
        </w:tc>
        <w:tc>
          <w:tcPr>
            <w:tcW w:w="1928" w:type="dxa"/>
          </w:tcPr>
          <w:p w14:paraId="5C0D7E04">
            <w:pPr>
              <w:widowControl/>
              <w:spacing w:line="420" w:lineRule="atLeast"/>
              <w:jc w:val="center"/>
            </w:pPr>
          </w:p>
        </w:tc>
        <w:tc>
          <w:tcPr>
            <w:tcW w:w="2056" w:type="dxa"/>
          </w:tcPr>
          <w:p w14:paraId="20B58D05">
            <w:pPr>
              <w:widowControl/>
              <w:spacing w:line="420" w:lineRule="atLeast"/>
              <w:jc w:val="center"/>
            </w:pPr>
          </w:p>
        </w:tc>
      </w:tr>
      <w:tr w14:paraId="4CF96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73" w:type="dxa"/>
          </w:tcPr>
          <w:p w14:paraId="691A84B8">
            <w:pPr>
              <w:widowControl/>
              <w:spacing w:line="420" w:lineRule="atLeast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070" w:type="dxa"/>
          </w:tcPr>
          <w:p w14:paraId="219704D8">
            <w:pPr>
              <w:widowControl/>
              <w:spacing w:line="420" w:lineRule="atLeast"/>
              <w:jc w:val="center"/>
            </w:pPr>
          </w:p>
        </w:tc>
        <w:tc>
          <w:tcPr>
            <w:tcW w:w="1070" w:type="dxa"/>
          </w:tcPr>
          <w:p w14:paraId="441882E0">
            <w:pPr>
              <w:widowControl/>
              <w:spacing w:line="420" w:lineRule="atLeast"/>
              <w:jc w:val="center"/>
            </w:pPr>
          </w:p>
        </w:tc>
        <w:tc>
          <w:tcPr>
            <w:tcW w:w="1070" w:type="dxa"/>
          </w:tcPr>
          <w:p w14:paraId="18F8DE9C">
            <w:pPr>
              <w:widowControl/>
              <w:spacing w:line="420" w:lineRule="atLeast"/>
              <w:jc w:val="center"/>
            </w:pPr>
          </w:p>
        </w:tc>
        <w:tc>
          <w:tcPr>
            <w:tcW w:w="1207" w:type="dxa"/>
          </w:tcPr>
          <w:p w14:paraId="3382E0C6">
            <w:pPr>
              <w:widowControl/>
              <w:spacing w:line="420" w:lineRule="atLeast"/>
              <w:jc w:val="center"/>
            </w:pPr>
          </w:p>
        </w:tc>
        <w:tc>
          <w:tcPr>
            <w:tcW w:w="1928" w:type="dxa"/>
          </w:tcPr>
          <w:p w14:paraId="7109C1C8">
            <w:pPr>
              <w:widowControl/>
              <w:spacing w:line="420" w:lineRule="atLeast"/>
              <w:jc w:val="center"/>
            </w:pPr>
          </w:p>
        </w:tc>
        <w:tc>
          <w:tcPr>
            <w:tcW w:w="2056" w:type="dxa"/>
          </w:tcPr>
          <w:p w14:paraId="4AACA769">
            <w:pPr>
              <w:widowControl/>
              <w:spacing w:line="420" w:lineRule="atLeast"/>
              <w:jc w:val="center"/>
            </w:pPr>
          </w:p>
        </w:tc>
      </w:tr>
      <w:tr w14:paraId="200CA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73" w:type="dxa"/>
          </w:tcPr>
          <w:p w14:paraId="73114205">
            <w:pPr>
              <w:widowControl/>
              <w:spacing w:line="420" w:lineRule="atLeast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070" w:type="dxa"/>
          </w:tcPr>
          <w:p w14:paraId="52502C57">
            <w:pPr>
              <w:widowControl/>
              <w:spacing w:line="420" w:lineRule="atLeast"/>
              <w:jc w:val="center"/>
            </w:pPr>
          </w:p>
        </w:tc>
        <w:tc>
          <w:tcPr>
            <w:tcW w:w="1070" w:type="dxa"/>
          </w:tcPr>
          <w:p w14:paraId="56D400D4">
            <w:pPr>
              <w:widowControl/>
              <w:spacing w:line="420" w:lineRule="atLeast"/>
              <w:jc w:val="center"/>
            </w:pPr>
          </w:p>
        </w:tc>
        <w:tc>
          <w:tcPr>
            <w:tcW w:w="1070" w:type="dxa"/>
          </w:tcPr>
          <w:p w14:paraId="0210E32F">
            <w:pPr>
              <w:widowControl/>
              <w:spacing w:line="420" w:lineRule="atLeast"/>
              <w:jc w:val="center"/>
            </w:pPr>
          </w:p>
        </w:tc>
        <w:tc>
          <w:tcPr>
            <w:tcW w:w="1207" w:type="dxa"/>
          </w:tcPr>
          <w:p w14:paraId="36ECE78E">
            <w:pPr>
              <w:widowControl/>
              <w:spacing w:line="420" w:lineRule="atLeast"/>
              <w:jc w:val="center"/>
            </w:pPr>
          </w:p>
        </w:tc>
        <w:tc>
          <w:tcPr>
            <w:tcW w:w="1928" w:type="dxa"/>
          </w:tcPr>
          <w:p w14:paraId="515CBC3D">
            <w:pPr>
              <w:widowControl/>
              <w:spacing w:line="420" w:lineRule="atLeast"/>
              <w:jc w:val="center"/>
            </w:pPr>
          </w:p>
        </w:tc>
        <w:tc>
          <w:tcPr>
            <w:tcW w:w="2056" w:type="dxa"/>
          </w:tcPr>
          <w:p w14:paraId="52F230AC">
            <w:pPr>
              <w:widowControl/>
              <w:spacing w:line="420" w:lineRule="atLeast"/>
              <w:jc w:val="center"/>
            </w:pPr>
          </w:p>
        </w:tc>
      </w:tr>
      <w:tr w14:paraId="174FA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73" w:type="dxa"/>
          </w:tcPr>
          <w:p w14:paraId="28F81978">
            <w:pPr>
              <w:widowControl/>
              <w:spacing w:line="420" w:lineRule="atLeast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070" w:type="dxa"/>
          </w:tcPr>
          <w:p w14:paraId="6B1A181B">
            <w:pPr>
              <w:widowControl/>
              <w:spacing w:line="420" w:lineRule="atLeast"/>
              <w:jc w:val="center"/>
            </w:pPr>
          </w:p>
        </w:tc>
        <w:tc>
          <w:tcPr>
            <w:tcW w:w="1070" w:type="dxa"/>
          </w:tcPr>
          <w:p w14:paraId="5A6A97DE">
            <w:pPr>
              <w:widowControl/>
              <w:spacing w:line="420" w:lineRule="atLeast"/>
              <w:jc w:val="center"/>
            </w:pPr>
          </w:p>
        </w:tc>
        <w:tc>
          <w:tcPr>
            <w:tcW w:w="1070" w:type="dxa"/>
          </w:tcPr>
          <w:p w14:paraId="3DCD662C">
            <w:pPr>
              <w:widowControl/>
              <w:spacing w:line="420" w:lineRule="atLeast"/>
              <w:jc w:val="center"/>
            </w:pPr>
          </w:p>
        </w:tc>
        <w:tc>
          <w:tcPr>
            <w:tcW w:w="1207" w:type="dxa"/>
          </w:tcPr>
          <w:p w14:paraId="023C3DFE">
            <w:pPr>
              <w:widowControl/>
              <w:spacing w:line="420" w:lineRule="atLeast"/>
              <w:jc w:val="center"/>
            </w:pPr>
          </w:p>
        </w:tc>
        <w:tc>
          <w:tcPr>
            <w:tcW w:w="1928" w:type="dxa"/>
          </w:tcPr>
          <w:p w14:paraId="471F7ECC">
            <w:pPr>
              <w:widowControl/>
              <w:spacing w:line="420" w:lineRule="atLeast"/>
              <w:jc w:val="center"/>
            </w:pPr>
          </w:p>
        </w:tc>
        <w:tc>
          <w:tcPr>
            <w:tcW w:w="2056" w:type="dxa"/>
          </w:tcPr>
          <w:p w14:paraId="3738FD75">
            <w:pPr>
              <w:widowControl/>
              <w:spacing w:line="420" w:lineRule="atLeast"/>
              <w:jc w:val="center"/>
            </w:pPr>
          </w:p>
        </w:tc>
      </w:tr>
    </w:tbl>
    <w:p w14:paraId="4F4D2E9D">
      <w:pPr>
        <w:pStyle w:val="2"/>
        <w:adjustRightInd w:val="0"/>
        <w:snapToGrid w:val="0"/>
        <w:spacing w:before="200" w:after="200" w:line="240" w:lineRule="auto"/>
        <w:rPr>
          <w:rFonts w:hint="eastAsia" w:ascii="黑体" w:hAnsi="黑体" w:eastAsia="黑体"/>
          <w:color w:val="000000"/>
          <w:sz w:val="36"/>
          <w:szCs w:val="36"/>
          <w:shd w:val="clear" w:color="auto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510D78"/>
    <w:rsid w:val="10264A11"/>
    <w:rsid w:val="19CC0DE9"/>
    <w:rsid w:val="231F082F"/>
    <w:rsid w:val="3EC2252A"/>
    <w:rsid w:val="69B63885"/>
    <w:rsid w:val="7D6713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cs="宋体"/>
      <w:b/>
      <w:kern w:val="0"/>
      <w:sz w:val="36"/>
      <w:szCs w:val="36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100" w:beforeAutospacing="1" w:after="100" w:afterAutospacing="1" w:line="300" w:lineRule="atLeast"/>
      <w:jc w:val="left"/>
    </w:pPr>
    <w:rPr>
      <w:kern w:val="0"/>
      <w:sz w:val="24"/>
    </w:rPr>
  </w:style>
  <w:style w:type="table" w:styleId="6">
    <w:name w:val="Table Grid"/>
    <w:basedOn w:val="5"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列出段落11"/>
    <w:basedOn w:val="1"/>
    <w:qFormat/>
    <w:uiPriority w:val="99"/>
    <w:pPr>
      <w:ind w:firstLine="420" w:firstLineChars="200"/>
    </w:pPr>
    <w:rPr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1011</Words>
  <Characters>1112</Characters>
  <Lines>0</Lines>
  <Paragraphs>0</Paragraphs>
  <TotalTime>3</TotalTime>
  <ScaleCrop>false</ScaleCrop>
  <LinksUpToDate>false</LinksUpToDate>
  <CharactersWithSpaces>1239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2024-09-19T20:56:00Z</dcterms:created>
  <dc:creator>iPad</dc:creator>
  <cp:lastModifiedBy>蛮蛮</cp:lastModifiedBy>
  <dcterms:modified xsi:type="dcterms:W3CDTF">2025-11-04T14:19:34Z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944A10D0A84AC4A62110F968D01911F6_33</vt:lpwstr>
  </property>
  <property fmtid="{D5CDD505-2E9C-101B-9397-08002B2CF9AE}" pid="4" name="KSOTemplateDocerSaveRecord">
    <vt:lpwstr>eyJoZGlkIjoiMDQzYTYyYmQzYjMyOGRiOWU4ZTc3OWFjYmNmOGFlMDIiLCJ1c2VySWQiOiIzOTU0NTc5ODIifQ==</vt:lpwstr>
  </property>
</Properties>
</file>